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60" w:lineRule="exact"/>
        <w:jc w:val="center"/>
        <w:textAlignment w:val="baseline"/>
        <w:rPr>
          <w:rStyle w:val="10"/>
          <w:rFonts w:ascii="方正小标宋简体" w:hAnsi="宋体" w:eastAsia="方正小标宋简体" w:cs="Times New Roman"/>
          <w:bCs/>
          <w:color w:val="auto"/>
          <w:sz w:val="44"/>
          <w:szCs w:val="44"/>
        </w:rPr>
      </w:pPr>
    </w:p>
    <w:p>
      <w:pPr>
        <w:widowControl/>
        <w:adjustRightInd w:val="0"/>
        <w:snapToGrid w:val="0"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</w:p>
    <w:p>
      <w:pPr>
        <w:widowControl/>
        <w:adjustRightInd w:val="0"/>
        <w:snapToGrid w:val="0"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学位授权点建设年度报告</w:t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</w:pPr>
    </w:p>
    <w:p>
      <w:pPr>
        <w:spacing w:after="156" w:line="560" w:lineRule="exact"/>
        <w:jc w:val="center"/>
        <w:textAlignment w:val="baseline"/>
        <w:rPr>
          <w:rStyle w:val="10"/>
          <w:rFonts w:ascii="方正小标宋简体" w:hAnsi="宋体" w:eastAsia="方正小标宋简体" w:cs="Times New Roman"/>
          <w:bCs/>
          <w:color w:val="auto"/>
          <w:sz w:val="44"/>
          <w:szCs w:val="44"/>
        </w:rPr>
      </w:pPr>
    </w:p>
    <w:p>
      <w:pPr>
        <w:snapToGrid w:val="0"/>
        <w:jc w:val="center"/>
        <w:textAlignment w:val="baseline"/>
        <w:rPr>
          <w:rStyle w:val="10"/>
          <w:rFonts w:ascii="Times New Roman" w:hAnsi="Times New Roman" w:eastAsia="宋体"/>
          <w:b/>
          <w:color w:val="auto"/>
          <w:sz w:val="48"/>
          <w:szCs w:val="20"/>
        </w:rPr>
      </w:pPr>
    </w:p>
    <w:p>
      <w:pPr>
        <w:snapToGrid w:val="0"/>
        <w:jc w:val="center"/>
        <w:textAlignment w:val="baseline"/>
        <w:rPr>
          <w:rStyle w:val="10"/>
          <w:rFonts w:ascii="Times New Roman" w:hAnsi="Times New Roman" w:eastAsia="宋体"/>
          <w:b/>
          <w:color w:val="auto"/>
          <w:sz w:val="48"/>
          <w:szCs w:val="20"/>
        </w:rPr>
      </w:pPr>
    </w:p>
    <w:p>
      <w:pPr>
        <w:pStyle w:val="2"/>
        <w:ind w:firstLine="964"/>
        <w:rPr>
          <w:rStyle w:val="10"/>
          <w:rFonts w:ascii="Times New Roman" w:hAnsi="Times New Roman" w:eastAsia="宋体"/>
          <w:b/>
          <w:color w:val="auto"/>
          <w:sz w:val="48"/>
          <w:szCs w:val="20"/>
        </w:rPr>
      </w:pPr>
    </w:p>
    <w:p>
      <w:pPr>
        <w:rPr>
          <w:color w:val="auto"/>
        </w:rPr>
      </w:pPr>
    </w:p>
    <w:p>
      <w:pPr>
        <w:snapToGrid w:val="0"/>
        <w:spacing w:line="300" w:lineRule="auto"/>
        <w:jc w:val="center"/>
        <w:textAlignment w:val="baseline"/>
        <w:rPr>
          <w:rStyle w:val="10"/>
          <w:rFonts w:ascii="Times New Roman" w:hAnsi="Times New Roman" w:eastAsia="宋体"/>
          <w:b/>
          <w:color w:val="auto"/>
          <w:szCs w:val="32"/>
        </w:rPr>
      </w:pPr>
    </w:p>
    <w:tbl>
      <w:tblPr>
        <w:tblStyle w:val="7"/>
        <w:tblW w:w="54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3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Style w:val="10"/>
                <w:rFonts w:ascii="Times New Roman" w:hAnsi="Times New Roman" w:eastAsia="宋体"/>
                <w:b/>
                <w:color w:val="auto"/>
                <w:spacing w:val="-10"/>
                <w:szCs w:val="32"/>
              </w:rPr>
            </w:pPr>
            <w:r>
              <w:rPr>
                <w:rStyle w:val="10"/>
                <w:rFonts w:hint="eastAsia" w:ascii="Times New Roman" w:hAnsi="Times New Roman" w:eastAsia="宋体"/>
                <w:b/>
                <w:color w:val="auto"/>
                <w:spacing w:val="-10"/>
                <w:szCs w:val="32"/>
              </w:rPr>
              <w:t>学院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Style w:val="10"/>
                <w:rFonts w:ascii="Times New Roman" w:hAnsi="Times New Roman" w:eastAsia="宋体"/>
                <w:b/>
                <w:color w:val="auto"/>
                <w:spacing w:val="-10"/>
                <w:szCs w:val="32"/>
              </w:rPr>
            </w:pPr>
            <w:r>
              <w:rPr>
                <w:rStyle w:val="10"/>
                <w:rFonts w:hint="eastAsia" w:ascii="Times New Roman" w:hAnsi="Times New Roman"/>
                <w:b/>
                <w:color w:val="auto"/>
                <w:spacing w:val="-10"/>
                <w:szCs w:val="32"/>
              </w:rPr>
              <w:t>（</w:t>
            </w:r>
            <w:r>
              <w:rPr>
                <w:rStyle w:val="10"/>
                <w:rFonts w:ascii="Times New Roman" w:hAnsi="Times New Roman" w:eastAsia="宋体"/>
                <w:b/>
                <w:color w:val="auto"/>
                <w:spacing w:val="-10"/>
                <w:szCs w:val="32"/>
              </w:rPr>
              <w:t>公章）</w:t>
            </w:r>
          </w:p>
        </w:tc>
        <w:tc>
          <w:tcPr>
            <w:tcW w:w="397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spacing w:line="300" w:lineRule="auto"/>
              <w:textAlignment w:val="baseline"/>
              <w:rPr>
                <w:rStyle w:val="10"/>
                <w:rFonts w:ascii="Times New Roman" w:hAnsi="Times New Roman" w:eastAsia="宋体"/>
                <w:b/>
                <w:color w:val="auto"/>
                <w:spacing w:val="-10"/>
                <w:szCs w:val="32"/>
              </w:rPr>
            </w:pPr>
            <w:r>
              <w:rPr>
                <w:rStyle w:val="10"/>
                <w:rFonts w:hint="eastAsia" w:ascii="Times New Roman" w:hAnsi="Times New Roman" w:eastAsia="宋体"/>
                <w:b/>
                <w:color w:val="auto"/>
                <w:spacing w:val="-10"/>
                <w:szCs w:val="32"/>
              </w:rPr>
              <w:t>学位点</w:t>
            </w:r>
            <w:r>
              <w:rPr>
                <w:rStyle w:val="10"/>
                <w:rFonts w:ascii="Times New Roman" w:hAnsi="Times New Roman" w:eastAsia="宋体"/>
                <w:b/>
                <w:color w:val="auto"/>
                <w:spacing w:val="-10"/>
                <w:szCs w:val="32"/>
              </w:rPr>
              <w:t>名称：</w:t>
            </w:r>
            <w:r>
              <w:rPr>
                <w:rStyle w:val="10"/>
                <w:rFonts w:hint="eastAsia" w:ascii="Times New Roman" w:hAnsi="Times New Roman" w:eastAsia="宋体"/>
                <w:b/>
                <w:color w:val="auto"/>
                <w:spacing w:val="-10"/>
                <w:szCs w:val="32"/>
              </w:rPr>
              <w:t>民族学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textAlignment w:val="baseline"/>
              <w:rPr>
                <w:rStyle w:val="10"/>
                <w:rFonts w:ascii="Times New Roman" w:hAnsi="Times New Roman" w:eastAsia="宋体"/>
                <w:b/>
                <w:color w:val="auto"/>
                <w:spacing w:val="-10"/>
                <w:szCs w:val="32"/>
              </w:rPr>
            </w:pP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line="300" w:lineRule="auto"/>
              <w:textAlignment w:val="baseline"/>
              <w:rPr>
                <w:rStyle w:val="10"/>
                <w:rFonts w:ascii="Times New Roman" w:hAnsi="Times New Roman" w:eastAsia="宋体"/>
                <w:b/>
                <w:color w:val="auto"/>
                <w:spacing w:val="-10"/>
                <w:szCs w:val="32"/>
              </w:rPr>
            </w:pPr>
            <w:r>
              <w:rPr>
                <w:rStyle w:val="10"/>
                <w:rFonts w:hint="eastAsia" w:ascii="Times New Roman" w:hAnsi="Times New Roman" w:eastAsia="宋体"/>
                <w:b/>
                <w:color w:val="auto"/>
                <w:spacing w:val="-10"/>
                <w:szCs w:val="32"/>
              </w:rPr>
              <w:t>学位点</w:t>
            </w:r>
            <w:r>
              <w:rPr>
                <w:rStyle w:val="10"/>
                <w:rFonts w:ascii="Times New Roman" w:hAnsi="Times New Roman" w:eastAsia="宋体"/>
                <w:b/>
                <w:color w:val="auto"/>
                <w:spacing w:val="-10"/>
                <w:szCs w:val="32"/>
              </w:rPr>
              <w:t>代码：</w:t>
            </w:r>
            <w:r>
              <w:rPr>
                <w:rStyle w:val="10"/>
                <w:rFonts w:hint="eastAsia" w:ascii="Times New Roman" w:hAnsi="Times New Roman" w:eastAsia="宋体"/>
                <w:b/>
                <w:color w:val="auto"/>
                <w:spacing w:val="-10"/>
                <w:szCs w:val="32"/>
              </w:rPr>
              <w:t>0304</w:t>
            </w:r>
          </w:p>
        </w:tc>
      </w:tr>
    </w:tbl>
    <w:p>
      <w:pPr>
        <w:snapToGrid w:val="0"/>
        <w:spacing w:line="300" w:lineRule="auto"/>
        <w:jc w:val="center"/>
        <w:textAlignment w:val="baseline"/>
        <w:rPr>
          <w:rStyle w:val="10"/>
          <w:rFonts w:ascii="Times New Roman" w:hAnsi="Times New Roman" w:eastAsia="宋体"/>
          <w:b/>
          <w:color w:val="auto"/>
          <w:sz w:val="48"/>
          <w:szCs w:val="20"/>
        </w:rPr>
      </w:pPr>
    </w:p>
    <w:p>
      <w:pPr>
        <w:spacing w:line="560" w:lineRule="exact"/>
        <w:jc w:val="center"/>
        <w:textAlignment w:val="baseline"/>
        <w:rPr>
          <w:rStyle w:val="10"/>
          <w:rFonts w:ascii="Times New Roman" w:hAnsi="Times New Roman" w:eastAsia="楷体_GB2312"/>
          <w:b/>
          <w:color w:val="auto"/>
          <w:sz w:val="30"/>
          <w:szCs w:val="30"/>
        </w:rPr>
      </w:pPr>
    </w:p>
    <w:p>
      <w:pPr>
        <w:pStyle w:val="11"/>
        <w:widowControl/>
        <w:rPr>
          <w:rStyle w:val="10"/>
          <w:rFonts w:ascii="黑体" w:hAnsi="黑体" w:eastAsia="黑体"/>
          <w:color w:val="auto"/>
          <w:szCs w:val="32"/>
        </w:rPr>
      </w:pPr>
    </w:p>
    <w:p>
      <w:pPr>
        <w:spacing w:line="560" w:lineRule="exact"/>
        <w:jc w:val="center"/>
        <w:textAlignment w:val="baseline"/>
        <w:rPr>
          <w:rStyle w:val="10"/>
          <w:rFonts w:ascii="Times New Roman" w:hAnsi="Times New Roman" w:eastAsia="楷体_GB2312"/>
          <w:b/>
          <w:color w:val="auto"/>
          <w:sz w:val="30"/>
          <w:szCs w:val="30"/>
        </w:rPr>
      </w:pPr>
    </w:p>
    <w:p>
      <w:pPr>
        <w:pStyle w:val="2"/>
        <w:ind w:firstLine="602"/>
        <w:rPr>
          <w:rStyle w:val="10"/>
          <w:rFonts w:ascii="Times New Roman" w:hAnsi="Times New Roman" w:eastAsia="楷体_GB2312"/>
          <w:b/>
          <w:color w:val="auto"/>
          <w:sz w:val="30"/>
          <w:szCs w:val="30"/>
        </w:rPr>
      </w:pPr>
    </w:p>
    <w:p>
      <w:pPr>
        <w:rPr>
          <w:rStyle w:val="10"/>
          <w:rFonts w:ascii="Times New Roman" w:hAnsi="Times New Roman" w:eastAsia="楷体_GB2312"/>
          <w:b/>
          <w:color w:val="auto"/>
          <w:sz w:val="30"/>
          <w:szCs w:val="30"/>
        </w:rPr>
      </w:pPr>
    </w:p>
    <w:p>
      <w:pPr>
        <w:pStyle w:val="2"/>
        <w:ind w:firstLine="602"/>
        <w:rPr>
          <w:rStyle w:val="10"/>
          <w:rFonts w:ascii="Times New Roman" w:hAnsi="Times New Roman" w:eastAsia="楷体_GB2312"/>
          <w:b/>
          <w:color w:val="auto"/>
          <w:sz w:val="30"/>
          <w:szCs w:val="30"/>
        </w:rPr>
      </w:pPr>
    </w:p>
    <w:p>
      <w:pPr>
        <w:rPr>
          <w:rStyle w:val="10"/>
          <w:rFonts w:ascii="Times New Roman" w:hAnsi="Times New Roman" w:eastAsia="楷体_GB2312"/>
          <w:b/>
          <w:color w:val="auto"/>
          <w:sz w:val="30"/>
          <w:szCs w:val="30"/>
        </w:rPr>
      </w:pPr>
    </w:p>
    <w:p>
      <w:pPr>
        <w:pStyle w:val="2"/>
        <w:ind w:firstLine="420"/>
        <w:rPr>
          <w:color w:val="auto"/>
        </w:rPr>
      </w:pPr>
    </w:p>
    <w:p>
      <w:pPr>
        <w:spacing w:line="560" w:lineRule="exact"/>
        <w:jc w:val="center"/>
        <w:textAlignment w:val="baseline"/>
        <w:rPr>
          <w:rStyle w:val="10"/>
          <w:rFonts w:ascii="黑体" w:hAnsi="黑体" w:eastAsia="黑体"/>
          <w:color w:val="auto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Style w:val="10"/>
          <w:rFonts w:ascii="Times New Roman" w:hAnsi="Times New Roman" w:eastAsia="楷体_GB2312"/>
          <w:b/>
          <w:color w:val="auto"/>
          <w:szCs w:val="32"/>
        </w:rPr>
        <w:t>202</w:t>
      </w:r>
      <w:r>
        <w:rPr>
          <w:rStyle w:val="10"/>
          <w:rFonts w:hint="eastAsia" w:ascii="Times New Roman" w:hAnsi="Times New Roman" w:eastAsia="楷体_GB2312"/>
          <w:b/>
          <w:color w:val="auto"/>
          <w:szCs w:val="32"/>
          <w:lang w:val="en-US"/>
        </w:rPr>
        <w:t>4</w:t>
      </w:r>
      <w:r>
        <w:rPr>
          <w:rStyle w:val="10"/>
          <w:rFonts w:ascii="Times New Roman" w:hAnsi="Times New Roman" w:eastAsia="楷体_GB2312"/>
          <w:b/>
          <w:color w:val="auto"/>
          <w:szCs w:val="32"/>
        </w:rPr>
        <w:t>年</w:t>
      </w:r>
      <w:r>
        <w:rPr>
          <w:rStyle w:val="10"/>
          <w:rFonts w:hint="eastAsia" w:ascii="Times New Roman" w:hAnsi="Times New Roman" w:eastAsia="楷体_GB2312"/>
          <w:b/>
          <w:color w:val="auto"/>
          <w:szCs w:val="32"/>
        </w:rPr>
        <w:t>3</w:t>
      </w:r>
      <w:r>
        <w:rPr>
          <w:rStyle w:val="10"/>
          <w:rFonts w:ascii="Times New Roman" w:hAnsi="Times New Roman" w:eastAsia="楷体_GB2312"/>
          <w:b/>
          <w:color w:val="auto"/>
          <w:szCs w:val="32"/>
        </w:rPr>
        <w:t>月</w:t>
      </w:r>
      <w:r>
        <w:rPr>
          <w:rStyle w:val="10"/>
          <w:rFonts w:hint="eastAsia" w:ascii="Times New Roman" w:hAnsi="Times New Roman" w:eastAsia="楷体_GB2312"/>
          <w:b/>
          <w:color w:val="auto"/>
          <w:szCs w:val="32"/>
        </w:rPr>
        <w:t>24</w:t>
      </w:r>
      <w:r>
        <w:rPr>
          <w:rStyle w:val="10"/>
          <w:rFonts w:ascii="Times New Roman" w:hAnsi="Times New Roman" w:eastAsia="楷体_GB2312"/>
          <w:b/>
          <w:color w:val="auto"/>
          <w:szCs w:val="32"/>
        </w:rPr>
        <w:t>日</w:t>
      </w:r>
    </w:p>
    <w:p>
      <w:pPr>
        <w:spacing w:before="360" w:after="320" w:line="360" w:lineRule="auto"/>
        <w:jc w:val="center"/>
        <w:rPr>
          <w:rFonts w:ascii="方正小标宋_GBK" w:hAnsi="方正小标宋_GBK" w:eastAsia="方正小标宋_GBK" w:cs="方正小标宋_GBK"/>
          <w:b/>
          <w:bCs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</w:rPr>
        <w:t>年民族学学位授权点建设年度报告</w:t>
      </w:r>
    </w:p>
    <w:p>
      <w:pPr>
        <w:widowControl/>
        <w:spacing w:before="240" w:after="120" w:line="360" w:lineRule="auto"/>
        <w:ind w:firstLine="562" w:firstLineChars="200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Hans" w:bidi="ar"/>
        </w:rPr>
        <w:t>一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Hans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  <w:t>总体概况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学科历史悠久，培养体系完备。西北民族和边疆研究肇始于清中晚期的“西北之学”；民国时期，我校早期校长马鹤天是边疆学的重要开拓者之一； 1947年国立兰州大学设立边疆语文学系，开设有关民族学的课程，有一批从事西北少数民族研究的专家。1987年获批民族学硕士点，1990年获得博士学位授权点，1998年获批民族学本科专业。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目前，本学科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是西北地区最早形成从学士、硕士、博士，到博士后的完备的培养体系的民族学科研与教学单位。民族学是国家重点学科、甘肃省一级重点学科、甘肃省优势学科、省级特色专业，有省级教学团队。一级学科下设民族学、马克思主义民族理论与政策、中国少数民族史、民族社会学、藏学五个二级学科博士点和硕士点。</w:t>
      </w:r>
    </w:p>
    <w:p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师资力量雄厚，“老—中—青”年龄结构合理。截止202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底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学科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点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有在职教职工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36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，其中教授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人（含外籍教授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人），副教授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人，青年研究员1人，讲师3人，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萃英博士后2人，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教辅人员2人。学科点新增硕士生导师4人，现共有博士生导师18人（含兼职），硕士生导师25人。人才培养不断优化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优秀生源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较为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充足，“双一流”生源逐年提升。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截止202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年底，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学科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在校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博士研究生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人，硕士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研究生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人。本年度招收博士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研究生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人（含国政院），硕士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研究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生3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人（推免生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人，普通招考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人）。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获得博士学位者22人，获得硕士学位者32人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。博士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研究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生协议和合同就业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人，就业率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91.09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%。硕士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研究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生升学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协议和合同就业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人，就业率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46.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%。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多平台共建互促，形成发展合力。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教育部人文社科重点研究基地兰州大学西北少数民族研究中心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2000年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）、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历史文化学院民族学系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以及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中央统战部、中央宣传部、教育部、国家民委四部委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“兰州大学铸牢中华民族共同体意识研究基地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2023年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为本学科的主要依托单位，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同时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依托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跨学科平台兰州大学青藏高原人文环境研究院、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国家民委“一带一路”国别和区域研究中心“兰州大学欧盟研究中心”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中国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残疾人联合会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“中国民族地区残疾人事业发展研究中心”联合共建。建有协同育人、田野调查实习、社会工作实训基地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20余个；设有影视人类学实验室、民族心理学实验室、图书资料室、丝绸之路文化交流史资料中心、藏文文献室、铸牢中华民族共同体意识心理机制演示室、中国陆地边境口岸沙盘展示室、口岸实物展示室、中华人民共和国国门展厅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，收藏中外文专业图书5万余册，中外文报刊杂志百余种，力争建成甘青特有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民族数字资源库。</w:t>
      </w:r>
    </w:p>
    <w:p>
      <w:pPr>
        <w:widowControl/>
        <w:tabs>
          <w:tab w:val="left" w:pos="630"/>
        </w:tabs>
        <w:spacing w:before="240" w:after="120" w:line="360" w:lineRule="auto"/>
        <w:ind w:firstLine="562" w:firstLineChars="200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Hans" w:bidi="ar"/>
        </w:rPr>
        <w:t>二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Hans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  <w:t>研究生党建与思想政治教育工作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本学科实现“课程思政”全覆盖，专业课程育人评价机制继续完善，进一步完善思政教育覆盖课堂教学、研究生指导全过程，尤其注重将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中华民族共同体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教材和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党史、新中国史、改革开放史、社会主义发展史、中华民族发展史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等的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学习教育有效合理地引入课程学习环节。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强化实践育人，完善已形成的点线面全覆盖的社会实践体系。依托“杨建新奖学金”，形成研究生科研育人新模式。完善学生党支部开展的“薪火计划”活动，通过优秀高年级学生推荐专业书籍、举办读书兴趣小组等方式传承优良学风。截止本年底，已建成20余个实践平台，参与深度实践实习的学生达到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0余人次。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继续完善校院领导齐抓共管意识形态工作格局，完善了意识形态工作制度，优化了意识形态工作机制。持续排查宣传、理论、舆论、文化、媒体等阵地的意识形态风险，未出现意识形态阵地管理风险。根据学科特点，持续编印《意识形态工作与师德建设学习材料》。定期组织开展“广角对谈”活动，引导学生将铸牢中华民族共同体意识入脑、入心，自觉指导学习和生活。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全面推进支部成员“两学一做”学习教育活动，落实“三会一课”和“主题党日”制度，落实支部建设“五融入”，组织生活“三结合”，有序开展各种社会实践活动，以实际行动践行党员先锋模范作用。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坚持以制度做保障，以理论学习为引领，以目标责任为导向，坚持聘请优秀教师任班主任，骨干党员教师任研究生支部书记，专职教师参与学生工作，不断完善专职为主、专兼结合、数量充足、政治可靠、素质过硬的思政工作队伍，不断提升管理和服务水平。</w:t>
      </w:r>
    </w:p>
    <w:p>
      <w:pPr>
        <w:widowControl/>
        <w:spacing w:before="240" w:after="120" w:line="360" w:lineRule="auto"/>
        <w:ind w:firstLine="562" w:firstLineChars="200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Hans" w:bidi="ar"/>
        </w:rPr>
        <w:t>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Hans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  <w:t>研究生培养相关制度及执行情况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全面优化课程体系建设。以中国特色社会主义新时代为背景，突破传统文科的思维模式，促进多学科交叉与深度融合，从学科导向转向以需求为导向。在课程设置方面，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依照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培养方案，优化课程体系，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不断完善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跨学科、应用类、方法类课程；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搭建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新媒体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平台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开设“西北民族学”公众号，多维度扩宽师生交流渠道；组建拥有哈佛大学、弗吉尼亚大学、巴黎高等研究实践学院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印第安纳大学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、东京外国语大学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等国际一流大学教育背景的优秀教师团队，开设全英文课程。</w:t>
      </w:r>
    </w:p>
    <w:p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不断强化对研究生实践教学与学术训练，服务地方社会。民族学专业的研究生需要具备获取知识、学术鉴别、科学研究、学术创新、学术交流以及扎实的田野工作的能力。开设田野调查方法、民族志写作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核心课程，强化实践教学环节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硕士研究生田野调查不少于三个月、博士研究生田野调查不少于一年。近五年来，先后挂牌成立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个实践教学育人协同基地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8个社会工作实训基地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同时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依托各类平台，实现了田野信息共享，为实践教学提供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了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保障。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本学科服务国家战略，持续在铸牢中华民族共同体意识、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构建人类命运共同体、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区域与民族发展、边疆安全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灾后重建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等领域开展调查研究，在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资政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报告、人才培养、干部培训等方面为民族地区的社会发展作出了较大贡献。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在获批的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项省部级及以上的咨询报告中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项报告学生直接参与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调研与撰写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。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不断完善学生评价标准，建立全新评价机制，研究生学位授予标准更加贴合教育改革趋向与学科实际。“破五唯”是教育评价改革的重要内容，力求建立以品德和能力为导向、以岗位需求为目标的人才使用机制，形成不拘一格降人才的良好局面。</w:t>
      </w:r>
    </w:p>
    <w:p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以学术会议促进学术交流，提升兰大民族学学术声誉。本年度，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学科点召开了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第二届人类学教学论坛暨“民族志研究方法的教与学”国际研讨会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以及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“各民族共创中华”论坛暨杨建新先生九十寿诞座谈会。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约有20余人/次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研究生积极参与上述学术活动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同时，积极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引导研究生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学校与学院举办的研究生学术论坛及研究生省级、校级科研项目申报。</w:t>
      </w:r>
    </w:p>
    <w:p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先后邀请中国社会科学院李大龙研究员、上海政法学院杨友孙教授、吉首大学罗康隆教授、中央民族大学严庆教授、云南大学何明教授、四川大学张泽洪教授、历史人类学家王明珂教授、云南大学庄孔韶教授、中央民族大学丁宏教授、美国应用人类学家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  <w:t>Stephen L. Schensul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  <w:t>Jean J. Schensul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夫妇、巴基斯坦旁遮普大学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  <w:t>Mahboob Hussain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教授、中国藏学出版社总编辑王维强、中央民族大学祁进玉教授、中央民族大学楠木贤道教授等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三十余位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位专家学者举办线上、线下讲座。</w:t>
      </w:r>
    </w:p>
    <w:p>
      <w:pPr>
        <w:widowControl/>
        <w:spacing w:line="360" w:lineRule="auto"/>
        <w:ind w:firstLine="560" w:firstLineChars="200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坚持系统推进“三评”“三查”制度，切实提升教育教学质量。建立自我评价、学生评价与学科评价相结合的“三评”教学评价模式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本年度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继续开展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实施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了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课程教材讲义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等内容的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审查工作。由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各二级学科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学科负责人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系主任、研究所代表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逐级进行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审查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严把意识形态、课程思政及学术观。教学过程督导的“三查”政策，确保教学质量生命线。同时，强化导师负责制，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为年龄满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60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博士生导师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及兼职博士生导师配备校内合作导师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，以保证研究生的正常培养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。加强研究生的监管工作，严把开题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环节，明确要求预答辩应至少提前半年期举行，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有效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促进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论文质量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的提升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一人硕士学位论文获得校级优秀论文。</w:t>
      </w:r>
    </w:p>
    <w:p>
      <w:pPr>
        <w:widowControl/>
        <w:spacing w:line="360" w:lineRule="auto"/>
        <w:ind w:firstLine="638" w:firstLineChars="228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除执行学校以及历史文化学院的相关奖助政策之外，学科面向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全日制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研究生设立杨建新奖学金。杨建新奖学金由杨建新教育基金设立，旨在培养、奖励我校民族学学科领域具有卓越研究潜力的优秀研究生。本年度成功举办第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七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届杨建新奖学金颁奖典礼，共有6名研究生荣获杨建新奖学金。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在师德师风建设方面，将其作为教师队伍建设的首要任务和评价师资素质的第一标准。着力健全师德师风建设长效机制，强化日常教育督导，全面提升教师思想政治素质和职业道德水平。成立师德师风工作领导小组，完善学院党委统一领导、各教师党支部、各研究所、各系齐抓共管、教师自我约束的领导体制和工作机制。定期召开师德师风建设工作会议，研究师德师风建设工作重点，建立师德师风评价长效机制。以教师党支部为核心组织开展师德师风常态化学习，通过主题党日、三会一课、支部书记讲党课等形式组织教职工学习《新时代高校教师职业行为十项准则》《师德师风警示教育典型案例汇编》等。在评选工作中，坚决实行“师德一票否决制”。完善广泛参与、客观公正、科学合理的师德师风监督机制，通过网上师德监督平台、师德投诉举报箱等学校师德监督体系，严查师德失范行为。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在教师选拔培训方面，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积极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组织新入职教师、骨干教师参加学校各类师德师风培训活动；深入贯彻学习习近平总书记关于加强和改进民族工作的重要精神，邀请骨干教师讲授专题党课，支部全体党员学习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领会二十大报告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精神。号召向“萃英大先生”学习，坚守西部，树立终身学习意识，潜心育人，注重言传身教。</w:t>
      </w:r>
    </w:p>
    <w:p>
      <w:pPr>
        <w:widowControl/>
        <w:spacing w:before="240" w:after="120" w:line="360" w:lineRule="auto"/>
        <w:ind w:firstLine="562" w:firstLineChars="200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Hans" w:bidi="ar"/>
        </w:rPr>
        <w:t>四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Hans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  <w:t>研究生教育改革情况</w:t>
      </w:r>
    </w:p>
    <w:p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科学研究稳中向好。学位点本年在SSCI、A&amp;HCI、CSSCI收录期刊等发表高水平学术论文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约50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篇，其中2篇论文被中国人民大学复印报刊资料转载，1篇论点摘编于《新华文摘》。获批横向、纵向科研项目30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项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其中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新增国家社科基金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7项，1项为重大项目。武沐教授等人的论文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Muslim Women of the Fergana Valley: A 19th-Century Ethnography from Central Asia by Vladimir Nalivkin and Maria Nalivkina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发表于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 xml:space="preserve">A&amp;HCI, </w:t>
      </w:r>
      <w:r>
        <w:rPr>
          <w:rFonts w:hint="eastAsia" w:ascii="Times New Roman" w:hAnsi="Times New Roman" w:eastAsia="仿宋_GB2312" w:cs="Times New Roman"/>
          <w:i/>
          <w:iCs/>
          <w:color w:val="auto"/>
          <w:kern w:val="0"/>
          <w:sz w:val="28"/>
          <w:szCs w:val="28"/>
          <w:lang w:val="en-US" w:eastAsia="zh-CN" w:bidi="ar"/>
        </w:rPr>
        <w:t>Ab Imperio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, 02/2023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；赵利生教授等人的论文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Living Arrangements and Subjective Well-Being of Elderly Chinese Tibetan People: The Mediating Role of Religion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发表于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SSCI，</w:t>
      </w:r>
      <w:r>
        <w:rPr>
          <w:rFonts w:hint="eastAsia" w:ascii="Times New Roman" w:hAnsi="Times New Roman" w:eastAsia="仿宋_GB2312" w:cs="Times New Roman"/>
          <w:i/>
          <w:iCs/>
          <w:color w:val="auto"/>
          <w:kern w:val="0"/>
          <w:sz w:val="28"/>
          <w:szCs w:val="28"/>
          <w:lang w:val="en-US" w:eastAsia="zh-CN" w:bidi="ar"/>
        </w:rPr>
        <w:t>Journal of Religion and Health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，01/2023；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周传斌教授等人的论文《民族学在我国西北地区的发展脉络》发表于《民族研究》，2023年第6期；宗喀·漾正冈布教授等人的论文《敦煌藏译〈大通方广经〉版本探微——以吐蕃文献PT 92/1、200、201，ITJ 207、250为中心》发表于《世界宗教研究》，2023年第2期。</w:t>
      </w:r>
    </w:p>
    <w:p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出版《中国少数民族图志（塔塔尔族）》《中国民族学（第二十七辑）》《各民族共创中华——杨建新先生九十诞辰文集》《牡丹中的秩序与认同——河湟地区各民族共有精神家园的区域性个案研究》《中国民族学（第二十七辑）》《中国民族学（第二十六辑）》《中国民族学（第二十五辑）》等学术著作6部，获批资政报告11份，其中2份被中央有关部门采纳，其余9份均被省部级及有关单位采纳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获得7项甘肃省第十七次哲学社会科学优秀成果奖，3项2022年度全国民族工作优秀调研报告奖项，1项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CTTI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2023年度智库建设优秀成果奖。具体为：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王希隆教授的论文《清前期哈密、吐鲁番维吾尔人迁居河西西部论述》、李静教授的论文《中华民族共同体意识结构的心理学分析》、焦若水教授的论文《家的复归与赋权：农村社会工作整合发展的文化基础》获甘肃省第十七次哲学社会科学优秀成果奖一等奖，徐黎丽教授的系列著作《中国陆地边境口岸行》（6册）、李正元副教授的编著《民族交往交流交融实录：（三）四海同风》、樊莹副教授的研究报告《各民族交往交流交融的实证研究——以河湟民族走廊的实证调查为个案》获甘肃省第十七次哲学社会科学优秀成果奖二等奖，王海飞教授的研究报告《河西走廊少数民族移民定居中的生态文明建设研究》获甘肃省第十七次哲学社会科学优秀成果奖三等奖，宗喀·漾正冈布教授团队的调研报告《微观视域下多民族交往交流交融的实践研究——基于青海省民和县杏儿藏族乡的调查》获2022年度全国民族工作优秀调研报告二等奖，周传斌教授团队的调研报告《甘肃民族团结进步授荣工作的现状与经验调研报告》、田烨教授团队的调研报告《关于内蒙古各族学生铸牢中华民族共同体意识情况的调研报告》获2022年度全国民族工作优秀调研报告三等奖，焦若水教授团队等撰写的《西部地区残疾人就业发展报告》入选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 xml:space="preserve">CTTI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2023年度智库优秀成果一等奖。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学科建设不断完善，教师队伍建设不断加强。本年度引进中央民族大学博士生1人，聘任外籍教授1人，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选留萃英博士后1人，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招收萃英博士后2人。</w:t>
      </w:r>
      <w:r>
        <w:rPr>
          <w:rFonts w:ascii="仿宋_GB2312" w:hAnsi="仿宋_GB2312" w:eastAsia="仿宋_GB2312" w:cs="仿宋_GB2312"/>
          <w:color w:val="auto"/>
          <w:sz w:val="28"/>
          <w:szCs w:val="28"/>
          <w:lang w:eastAsia="zh-Hans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Hans"/>
        </w:rPr>
        <w:t>人被聘为国家一级学会副会长</w:t>
      </w:r>
      <w:r>
        <w:rPr>
          <w:rFonts w:ascii="仿宋_GB2312" w:hAnsi="仿宋_GB2312" w:eastAsia="仿宋_GB2312" w:cs="仿宋_GB2312"/>
          <w:color w:val="auto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1人被聘为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Hans"/>
        </w:rPr>
        <w:t>国家一级学会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常务理事，1人为聘为全国性一级学术社团副秘书长。</w:t>
      </w:r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区位优势突出，学科特色鲜明。立足于“东进西出、进疆入藏”的区域优势，继承和发扬马鹤天、顾颉刚、谷苞、杨建新等在中华民族研究上奠定的学术传统，以铸牢中华民族共同体意识为主线，聚焦中华民族共同体意识的理论渊源、发展历程、现实经验研究，对民族和边疆地区出现的新问题展开系列探索，在统一多民族国家的结构形式、交往交流交融、中华民族共有精神家园、铸牢中华民族共同体意识研究等方面，产出了大量高质量、有深度的理论探讨和实证研究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深化历代中央政府对西北民族地区的治理研究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挖掘汉藏典籍中的各民族交往交流交融历史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拓展世界民族与边疆安全研究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积极介入中国民族学的本土转向与话语体系研究。为构建中国特色哲学社会科学学科体系、学术体系、话语体系提供了有力支撑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Hans" w:bidi="ar"/>
        </w:rPr>
        <w:t>丰富了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理论研究和个案经验。</w:t>
      </w:r>
    </w:p>
    <w:p>
      <w:pPr>
        <w:spacing w:before="240" w:after="120" w:line="360" w:lineRule="auto"/>
        <w:ind w:left="479" w:leftChars="228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Hans"/>
        </w:rPr>
        <w:t>五</w:t>
      </w:r>
      <w:r>
        <w:rPr>
          <w:rFonts w:ascii="仿宋_GB2312" w:hAnsi="仿宋_GB2312" w:eastAsia="仿宋_GB2312" w:cs="仿宋_GB2312"/>
          <w:b/>
          <w:bCs/>
          <w:color w:val="auto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教育质量评估与分析</w:t>
      </w:r>
    </w:p>
    <w:p>
      <w:pPr>
        <w:spacing w:line="360" w:lineRule="auto"/>
        <w:ind w:firstLine="482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总体而言，202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年度民族学专业的研究生工作取得一定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Hans"/>
        </w:rPr>
        <w:t>成效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，尽管如此，仍有很大的改进空间。</w:t>
      </w:r>
    </w:p>
    <w:p>
      <w:pPr>
        <w:spacing w:line="360" w:lineRule="auto"/>
        <w:ind w:firstLine="482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科和教师队伍的发展现状与建设“双一流”民族学学科的目标之间仍存在较大差距。原因在于学科研究方向转型尚有欠缺，欠缺多学科交叉融合，服务国家与地方经济社会发展的能力仍有待进一步提升，教师的评价标准有待进一步优化。</w:t>
      </w:r>
    </w:p>
    <w:p>
      <w:pPr>
        <w:spacing w:line="360" w:lineRule="auto"/>
        <w:ind w:firstLine="482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Hans"/>
        </w:rPr>
        <w:t>对标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学位授权点建设目标任务台账，以做好学位授权点周期性合格评估的工作。本次工作从学位授权点与人才培养质量等方面全面展开，在不断对标的同时，学科也在进一步的查找问题，改进工作，凝练特色。</w:t>
      </w:r>
    </w:p>
    <w:p>
      <w:pPr>
        <w:spacing w:line="360" w:lineRule="auto"/>
        <w:ind w:firstLine="482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此外，本年度抽检的学位论文虽未出现不合格意见，但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在送审环节出现不合格的意见。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针对出现的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这一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情况，学科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提出整改意见，以探寻建立长效机制，力争杜绝此类情况的再次出现。</w:t>
      </w:r>
    </w:p>
    <w:p>
      <w:pPr>
        <w:spacing w:before="240" w:after="120" w:line="360" w:lineRule="auto"/>
        <w:ind w:firstLine="562" w:firstLineChars="200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Hans"/>
        </w:rPr>
        <w:t>六</w:t>
      </w:r>
      <w:r>
        <w:rPr>
          <w:rFonts w:ascii="仿宋_GB2312" w:hAnsi="仿宋_GB2312" w:eastAsia="仿宋_GB2312" w:cs="仿宋_GB2312"/>
          <w:b/>
          <w:bCs/>
          <w:color w:val="auto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改进措施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总体来看，继续深化铸牢中华民族共同体意识研究、拓展“一带一路”沿线国家和世界民族研究，促进多学科交叉融合，从实求知，构建具有中国特色、中国风格、中国气派的民族学学科体系、学术体系和话语体系。进一步凝练学科方向，从规模、层次和能力上进一步完善现有学术梯队，产出一批具有重要理论意义与现实意义的研究成果，重视实践应用，为国家和地方政府提供高水平咨询服务，加强国内外合作与交流，努力将中心建设成为民族学研究领域具有中国特色、国际影响、研教互促的新型研究基地和智库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强化教师思想政治素质考察，推动师德师风建设常态化、长效化。坚持中国特色，扎根中国、融通中外，立足时代、面向未来，坚定不移走中国特色社会主义教育发展道路。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巩固现有学科的基础上，立足西部民族地区社会发展的现实，深化边疆安全与发展研究，适时推动学科转型，着力在铸牢中华民族共同体意识的方向上深入探索，逐步向“一带一路”沿线国家和地区及世界民族研究领域拓展，实现学术研究“走出去”的目标，同时加强青藏高原人文环境、多元文化与社会工作、世界民族与国际政治、应用人类学、体质人类学等领域的跨学科研究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吸纳优秀人才，校、院、系（基地）携手引进人才，在一级学科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硕博士点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、国家级学术平台、专业排名冲A等背景下考虑学科人员建设的需求。通过外引内培，形成以学术带头人为主体，以中青年学术骨干为支撑，具有稳定的研究方向和可持续发展能力的教学、科研团队。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Hans"/>
        </w:rPr>
        <w:t>着力引进高层次人才，优化学缘结构，提升师资队伍整体水平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持续扩充科研队伍，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力争打造出一支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Hans"/>
        </w:rPr>
        <w:t>政治素质高、业务能力强、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结构合理的学术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Hans"/>
        </w:rPr>
        <w:t>团队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同时加强科研队伍的国际交流，选派专职研究人员到国外知名教学、科研机构交流访问。推进人才称号回归学术性、荣誉性，推进教师科研评价突出质量导向，重点评价学术贡献、社会贡献以及支撑人才培养情况。重视习近平新时代中国特色社会主义思想进课堂，遵循教育规律和人才成长规律，坚持育人为本、德育为先、立德树人。培养具有社会责任感、人文精神、科学理念的创新型人才。在学生招生方面，加大宣传力度，促使优秀生源率不断上升，但同时要从源头上保证研究生质量，尤其是强化面试环节的重要作用，宁缺毋滥。不断优化研究生培养及实践教学，探索完善学术交流机制，鼓励引导研究生参与学术论坛、读书交流会，促进学术研究与交流的自主性，提升科研与写作能力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强化过程管理，形成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完善的研究生开题、预答辩、论文送审与论文答辩的制度体系。进一步严格导师学术指导的规则，对论文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送审合格、不合格，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抽查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合格、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合格的博士生导师和硕士生导师，严格按照学校有关规定执行。从研究生论文选题入手，以新时代民族理论与政策为指导，突出铸牢中华民族共同体意识的民族工作主线，凸显选题的理论意义与实践价值，推动研究的不断深化与拓展。对于已达到毕业年限，急于毕业的学生不能降低要求，要把好最后的关口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extAlignment w:val="baseline"/>
      <w:rPr>
        <w:rStyle w:val="10"/>
        <w:rFonts w:ascii="Times New Roman" w:hAnsi="Times New Roman" w:eastAsia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- 18 -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WTfs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mD3Lwlbv&#10;LI/QUR5vV8cAOZPKUZROCXQnbjB9qU/9S4nj/ec+RT3+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Fk37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- 18 -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ascii="Times New Roman" w:hAnsi="Times New Roman" w:eastAsia="宋体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widowControl/>
                            <w:jc w:val="both"/>
                            <w:textAlignment w:val="baseline"/>
                            <w:rPr>
                              <w:rStyle w:val="10"/>
                              <w:rFonts w:ascii="Times New Roman" w:hAnsi="Times New Roman" w:eastAsia="宋体"/>
                              <w:sz w:val="20"/>
                              <w:szCs w:val="18"/>
                            </w:rPr>
                          </w:pPr>
                        </w:p>
                        <w:p>
                          <w:pPr>
                            <w:textAlignment w:val="baseline"/>
                            <w:rPr>
                              <w:rStyle w:val="10"/>
                              <w:rFonts w:ascii="Times New Roman" w:hAnsi="Times New Roman" w:eastAsia="宋体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5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9HqllNUAAAAGAQAADwAAAAAAAAABACAAAAAiAAAAZHJzL2Rvd25yZXYueG1s&#10;UEsBAhQAFAAAAAgAh07iQI4bhWPCAQAAjQMAAA4AAAAAAAAAAQAgAAAAJAEAAGRycy9lMm9Eb2Mu&#10;eG1sUEsFBgAAAAAGAAYAWQEAAFg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widowControl/>
                      <w:jc w:val="both"/>
                      <w:textAlignment w:val="baseline"/>
                      <w:rPr>
                        <w:rStyle w:val="10"/>
                        <w:rFonts w:ascii="Times New Roman" w:hAnsi="Times New Roman" w:eastAsia="宋体"/>
                        <w:sz w:val="20"/>
                        <w:szCs w:val="18"/>
                      </w:rPr>
                    </w:pPr>
                  </w:p>
                  <w:p>
                    <w:pPr>
                      <w:textAlignment w:val="baseline"/>
                      <w:rPr>
                        <w:rStyle w:val="10"/>
                        <w:rFonts w:ascii="Times New Roman" w:hAnsi="Times New Roman" w:eastAsia="宋体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YzE4YWU4YzBiM2Y5YjAwZGVlNDY5NjE3OGMwYWMifQ=="/>
  </w:docVars>
  <w:rsids>
    <w:rsidRoot w:val="00667B16"/>
    <w:rsid w:val="000A4589"/>
    <w:rsid w:val="000C22D0"/>
    <w:rsid w:val="003D534B"/>
    <w:rsid w:val="003E34C1"/>
    <w:rsid w:val="004E774C"/>
    <w:rsid w:val="00561831"/>
    <w:rsid w:val="00667B16"/>
    <w:rsid w:val="007E528F"/>
    <w:rsid w:val="00814FB6"/>
    <w:rsid w:val="0099543F"/>
    <w:rsid w:val="00A57B72"/>
    <w:rsid w:val="00A87CEE"/>
    <w:rsid w:val="00B65C2E"/>
    <w:rsid w:val="00B87575"/>
    <w:rsid w:val="00F77EED"/>
    <w:rsid w:val="00FB4984"/>
    <w:rsid w:val="02227FE9"/>
    <w:rsid w:val="062006FE"/>
    <w:rsid w:val="0C462242"/>
    <w:rsid w:val="0E70142F"/>
    <w:rsid w:val="13BB2712"/>
    <w:rsid w:val="17A96C86"/>
    <w:rsid w:val="1B993CDA"/>
    <w:rsid w:val="1F9B475E"/>
    <w:rsid w:val="1FB54EE1"/>
    <w:rsid w:val="1FCD57DF"/>
    <w:rsid w:val="242E1C8E"/>
    <w:rsid w:val="28E05D06"/>
    <w:rsid w:val="2F0F4A6D"/>
    <w:rsid w:val="32A82405"/>
    <w:rsid w:val="33094ED9"/>
    <w:rsid w:val="33EA3E24"/>
    <w:rsid w:val="3A8F5315"/>
    <w:rsid w:val="3B8F6ED3"/>
    <w:rsid w:val="3BAF40E0"/>
    <w:rsid w:val="3D8E44A1"/>
    <w:rsid w:val="3DC66028"/>
    <w:rsid w:val="3DC96D13"/>
    <w:rsid w:val="3DE85B2E"/>
    <w:rsid w:val="3E923276"/>
    <w:rsid w:val="3FB16139"/>
    <w:rsid w:val="441204E8"/>
    <w:rsid w:val="45AF614C"/>
    <w:rsid w:val="49037048"/>
    <w:rsid w:val="4ADB47FB"/>
    <w:rsid w:val="4F19418E"/>
    <w:rsid w:val="4FFEF4D3"/>
    <w:rsid w:val="52EFF303"/>
    <w:rsid w:val="54BF40B9"/>
    <w:rsid w:val="5A4360C6"/>
    <w:rsid w:val="5AF50835"/>
    <w:rsid w:val="5B990A1A"/>
    <w:rsid w:val="5D4C0931"/>
    <w:rsid w:val="5D8C1727"/>
    <w:rsid w:val="5EBF8EB2"/>
    <w:rsid w:val="5F891A8F"/>
    <w:rsid w:val="60F0021E"/>
    <w:rsid w:val="61A905CB"/>
    <w:rsid w:val="6657607A"/>
    <w:rsid w:val="67BB1C34"/>
    <w:rsid w:val="68AE492F"/>
    <w:rsid w:val="6BCB555C"/>
    <w:rsid w:val="6DB470D9"/>
    <w:rsid w:val="6DB79D7B"/>
    <w:rsid w:val="6FFFB004"/>
    <w:rsid w:val="771EF44E"/>
    <w:rsid w:val="771F5792"/>
    <w:rsid w:val="776F74E7"/>
    <w:rsid w:val="77AB65B3"/>
    <w:rsid w:val="77FFEC53"/>
    <w:rsid w:val="7BF6AA15"/>
    <w:rsid w:val="7E751C9E"/>
    <w:rsid w:val="7F9D6D78"/>
    <w:rsid w:val="7FF203F6"/>
    <w:rsid w:val="7FFFAD0D"/>
    <w:rsid w:val="9BD300C9"/>
    <w:rsid w:val="BFF6EAAB"/>
    <w:rsid w:val="DDDDC432"/>
    <w:rsid w:val="DF7F3D6D"/>
    <w:rsid w:val="DFFB44F7"/>
    <w:rsid w:val="E1ED4E42"/>
    <w:rsid w:val="F7B66561"/>
    <w:rsid w:val="FBAFF5D6"/>
    <w:rsid w:val="FFED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3"/>
    <w:basedOn w:val="1"/>
    <w:next w:val="1"/>
    <w:autoRedefine/>
    <w:qFormat/>
    <w:uiPriority w:val="9"/>
    <w:pPr>
      <w:spacing w:line="600" w:lineRule="exact"/>
      <w:ind w:firstLine="640" w:firstLineChars="200"/>
      <w:outlineLvl w:val="2"/>
    </w:pPr>
    <w:rPr>
      <w:rFonts w:ascii="黑体" w:hAnsi="黑体" w:eastAsia="黑体"/>
      <w:color w:val="000000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NormalCharacter"/>
    <w:autoRedefine/>
    <w:semiHidden/>
    <w:qFormat/>
    <w:uiPriority w:val="0"/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1">
    <w:name w:val="Heading3"/>
    <w:basedOn w:val="1"/>
    <w:next w:val="1"/>
    <w:autoRedefine/>
    <w:qFormat/>
    <w:uiPriority w:val="0"/>
    <w:pPr>
      <w:spacing w:line="600" w:lineRule="exact"/>
      <w:ind w:firstLine="640" w:firstLineChars="200"/>
      <w:textAlignment w:val="baseline"/>
    </w:pPr>
    <w:rPr>
      <w:rFonts w:ascii="黑体" w:hAnsi="黑体" w:eastAsia="黑体"/>
      <w:color w:val="0000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5620</Words>
  <Characters>5698</Characters>
  <Lines>40</Lines>
  <Paragraphs>11</Paragraphs>
  <TotalTime>9</TotalTime>
  <ScaleCrop>false</ScaleCrop>
  <LinksUpToDate>false</LinksUpToDate>
  <CharactersWithSpaces>5699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2021-06-10T08:19:00Z</dcterms:created>
  <dc:creator>雪中的人</dc:creator>
  <cp:lastModifiedBy>StopRaining</cp:lastModifiedBy>
  <cp:lastPrinted>2021-06-11T15:44:00Z</cp:lastPrinted>
  <dcterms:modified xsi:type="dcterms:W3CDTF">2024-04-17T02:27:14Z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B5AAC0F2BC624768B49AFA6139C0ED1B_13</vt:lpwstr>
  </property>
  <property fmtid="{D5CDD505-2E9C-101B-9397-08002B2CF9AE}" pid="4" name="KSOSaveFontToCloudKey">
    <vt:lpwstr>364092123_cloud</vt:lpwstr>
  </property>
</Properties>
</file>